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供热企业调研表</w:t>
      </w:r>
    </w:p>
    <w:p>
      <w:pPr>
        <w:pStyle w:val="13"/>
        <w:numPr>
          <w:ilvl w:val="0"/>
          <w:numId w:val="1"/>
        </w:numPr>
        <w:spacing w:before="156" w:beforeLines="50" w:after="156" w:afterLines="50"/>
        <w:ind w:left="692" w:hanging="482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企业名称：</w:t>
      </w:r>
      <w:r>
        <w:rPr>
          <w:rFonts w:hint="eastAsia" w:ascii="宋体" w:hAnsi="宋体" w:eastAsia="宋体" w:cs="Arial"/>
          <w:sz w:val="20"/>
          <w:u w:val="single"/>
        </w:rPr>
        <w:t xml:space="preserve">  </w:t>
      </w:r>
      <w:r>
        <w:rPr>
          <w:rFonts w:hint="eastAsia" w:ascii="宋体" w:hAnsi="宋体" w:eastAsia="宋体" w:cs="Arial"/>
          <w:sz w:val="20"/>
          <w:u w:val="single"/>
          <w:lang w:val="en-US" w:eastAsia="zh-CN"/>
        </w:rPr>
        <w:t xml:space="preserve">            </w:t>
      </w:r>
      <w:r>
        <w:rPr>
          <w:rFonts w:ascii="宋体" w:hAnsi="宋体" w:eastAsia="宋体" w:cs="Arial"/>
          <w:sz w:val="20"/>
          <w:u w:val="single"/>
        </w:rPr>
        <w:t xml:space="preserve">    </w:t>
      </w:r>
      <w:r>
        <w:rPr>
          <w:rFonts w:hint="eastAsia" w:ascii="宋体" w:hAnsi="宋体" w:eastAsia="宋体" w:cs="Arial"/>
          <w:sz w:val="20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sz w:val="24"/>
          <w:szCs w:val="24"/>
        </w:rPr>
        <w:t>填报时间：</w:t>
      </w:r>
      <w:r>
        <w:rPr>
          <w:rFonts w:hint="eastAsia" w:ascii="宋体" w:hAnsi="宋体" w:eastAsia="宋体" w:cs="Arial"/>
          <w:sz w:val="20"/>
          <w:u w:val="single"/>
        </w:rPr>
        <w:t xml:space="preserve">  </w:t>
      </w:r>
      <w:r>
        <w:rPr>
          <w:rFonts w:ascii="宋体" w:hAnsi="宋体" w:eastAsia="宋体" w:cs="Arial"/>
          <w:sz w:val="20"/>
          <w:u w:val="single"/>
        </w:rPr>
        <w:t xml:space="preserve"> </w:t>
      </w:r>
      <w:r>
        <w:rPr>
          <w:rFonts w:hint="eastAsia" w:ascii="宋体" w:hAnsi="宋体" w:eastAsia="宋体" w:cs="Arial"/>
          <w:sz w:val="20"/>
          <w:u w:val="single"/>
          <w:lang w:val="en-US" w:eastAsia="zh-CN"/>
        </w:rPr>
        <w:t xml:space="preserve">            </w:t>
      </w:r>
      <w:r>
        <w:rPr>
          <w:rFonts w:ascii="宋体" w:hAnsi="宋体" w:eastAsia="宋体" w:cs="Arial"/>
          <w:sz w:val="20"/>
          <w:u w:val="single"/>
        </w:rPr>
        <w:t xml:space="preserve"> </w:t>
      </w:r>
    </w:p>
    <w:tbl>
      <w:tblPr>
        <w:tblStyle w:val="7"/>
        <w:tblW w:w="5197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619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企业所在地及成立时间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cantSplit/>
          <w:trHeight w:val="335" w:hRule="atLeast"/>
        </w:trPr>
        <w:tc>
          <w:tcPr>
            <w:tcW w:w="150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企业性质及各方出资情况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eastAsia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  <w:highlight w:val="none"/>
              </w:rPr>
            </w:pPr>
            <w:r>
              <w:rPr>
                <w:rFonts w:hint="eastAsia" w:ascii="宋体" w:hAnsi="宋体" w:eastAsia="宋体" w:cs="Arial"/>
                <w:sz w:val="20"/>
                <w:highlight w:val="none"/>
              </w:rPr>
              <w:t>实际供热建筑面积（万m</w:t>
            </w:r>
            <w:r>
              <w:rPr>
                <w:rFonts w:hint="eastAsia" w:ascii="宋体" w:hAnsi="宋体" w:eastAsia="宋体" w:cs="Arial"/>
                <w:sz w:val="20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Arial"/>
                <w:sz w:val="20"/>
                <w:highlight w:val="none"/>
              </w:rPr>
              <w:t>）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  <w:highlight w:val="none"/>
              </w:rPr>
            </w:pPr>
            <w:r>
              <w:rPr>
                <w:rFonts w:hint="eastAsia" w:ascii="宋体" w:hAnsi="宋体" w:eastAsia="宋体" w:cs="Arial"/>
                <w:sz w:val="20"/>
                <w:highlight w:val="none"/>
              </w:rPr>
              <w:t>售热面积（万m</w:t>
            </w:r>
            <w:r>
              <w:rPr>
                <w:rFonts w:hint="eastAsia" w:ascii="宋体" w:hAnsi="宋体" w:eastAsia="宋体" w:cs="Arial"/>
                <w:sz w:val="20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Arial"/>
                <w:sz w:val="20"/>
                <w:highlight w:val="none"/>
              </w:rPr>
              <w:t>）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节能建筑占比(</w:t>
            </w:r>
            <w:r>
              <w:rPr>
                <w:rFonts w:ascii="宋体" w:hAnsi="宋体" w:eastAsia="宋体" w:cs="Arial"/>
                <w:sz w:val="20"/>
              </w:rPr>
              <w:t>%)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cantSplit/>
          <w:trHeight w:val="335" w:hRule="atLeast"/>
        </w:trPr>
        <w:tc>
          <w:tcPr>
            <w:tcW w:w="1502" w:type="pc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居民供热收费价格（元/m</w:t>
            </w:r>
            <w:r>
              <w:rPr>
                <w:rFonts w:hint="eastAsia" w:ascii="宋体" w:hAnsi="宋体" w:eastAsia="宋体" w:cs="Arial"/>
                <w:sz w:val="20"/>
                <w:vertAlign w:val="superscript"/>
              </w:rPr>
              <w:t>2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2" w:type="pct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公建供热收费价格（元/m</w:t>
            </w:r>
            <w:r>
              <w:rPr>
                <w:rFonts w:hint="eastAsia" w:ascii="宋体" w:hAnsi="宋体" w:eastAsia="宋体" w:cs="Arial"/>
                <w:sz w:val="20"/>
                <w:vertAlign w:val="superscript"/>
              </w:rPr>
              <w:t>2</w:t>
            </w:r>
            <w:r>
              <w:rPr>
                <w:rFonts w:hint="eastAsia" w:ascii="宋体" w:hAnsi="宋体" w:eastAsia="宋体" w:cs="Arial"/>
                <w:sz w:val="20"/>
              </w:rPr>
              <w:t>）/(元/GJ)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cantSplit/>
          <w:trHeight w:val="335" w:hRule="atLeast"/>
        </w:trPr>
        <w:tc>
          <w:tcPr>
            <w:tcW w:w="1502" w:type="pct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两部制热价（元/</w:t>
            </w:r>
            <w:r>
              <w:rPr>
                <w:rFonts w:ascii="宋体" w:hAnsi="宋体" w:eastAsia="宋体" w:cs="Arial"/>
                <w:sz w:val="20"/>
              </w:rPr>
              <w:t>GJ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2" w:type="pct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现行供热价格执行时间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cantSplit/>
          <w:trHeight w:val="50" w:hRule="atLeast"/>
        </w:trPr>
        <w:tc>
          <w:tcPr>
            <w:tcW w:w="1502" w:type="pct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现行供热价格执行时</w:t>
            </w:r>
            <w:r>
              <w:rPr>
                <w:rFonts w:hint="eastAsia" w:ascii="宋体" w:hAnsi="宋体" w:eastAsia="宋体" w:cs="Arial"/>
                <w:sz w:val="20"/>
                <w:highlight w:val="none"/>
              </w:rPr>
              <w:t>标煤</w:t>
            </w:r>
            <w:r>
              <w:rPr>
                <w:rFonts w:hint="eastAsia" w:ascii="宋体" w:hAnsi="宋体" w:eastAsia="宋体" w:cs="Arial"/>
                <w:sz w:val="20"/>
              </w:rPr>
              <w:t>价格（元/吨）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2" w:type="pct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上网电价（元/kwh）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主要供热方式及比列</w:t>
            </w:r>
          </w:p>
        </w:tc>
        <w:tc>
          <w:tcPr>
            <w:tcW w:w="34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Arial"/>
                <w:sz w:val="20"/>
              </w:rPr>
              <w:t>外购热电联产</w:t>
            </w:r>
            <w:r>
              <w:rPr>
                <w:rFonts w:hint="eastAsia" w:ascii="宋体" w:hAnsi="宋体" w:eastAsia="宋体" w:cs="Arial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Arial"/>
                <w:sz w:val="20"/>
              </w:rPr>
              <w:t xml:space="preserve"> </w:t>
            </w:r>
            <w:r>
              <w:rPr>
                <w:rFonts w:hint="eastAsia" w:ascii="宋体" w:hAnsi="宋体" w:eastAsia="宋体" w:cs="Arial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Arial"/>
                <w:sz w:val="20"/>
              </w:rPr>
              <w:t>自有燃煤热电联产、燃煤区域锅炉房</w:t>
            </w:r>
            <w:r>
              <w:rPr>
                <w:rFonts w:hint="eastAsia" w:ascii="宋体" w:hAnsi="宋体" w:eastAsia="宋体" w:cs="Arial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Arial"/>
                <w:sz w:val="20"/>
              </w:rPr>
              <w:t xml:space="preserve">  </w:t>
            </w:r>
            <w:r>
              <w:rPr>
                <w:rFonts w:hint="eastAsia" w:ascii="宋体" w:hAnsi="宋体" w:eastAsia="宋体" w:cs="Arial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Arial"/>
                <w:sz w:val="20"/>
              </w:rPr>
              <w:t xml:space="preserve"> 燃气锅炉</w:t>
            </w:r>
            <w:r>
              <w:rPr>
                <w:rFonts w:hint="eastAsia" w:ascii="宋体" w:hAnsi="宋体" w:eastAsia="宋体" w:cs="Arial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Arial"/>
                <w:sz w:val="20"/>
              </w:rPr>
              <w:t xml:space="preserve">  </w:t>
            </w:r>
            <w:r>
              <w:rPr>
                <w:rFonts w:ascii="宋体" w:hAnsi="宋体" w:eastAsia="宋体" w:cs="Arial"/>
                <w:sz w:val="20"/>
              </w:rPr>
              <w:t xml:space="preserve">  </w:t>
            </w:r>
            <w:r>
              <w:rPr>
                <w:rFonts w:hint="eastAsia" w:ascii="宋体" w:hAnsi="宋体" w:eastAsia="宋体" w:cs="Arial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Arial"/>
                <w:sz w:val="20"/>
              </w:rPr>
              <w:t>工业余热</w:t>
            </w:r>
            <w:r>
              <w:rPr>
                <w:rFonts w:hint="eastAsia" w:ascii="宋体" w:hAnsi="宋体" w:eastAsia="宋体" w:cs="Arial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Arial"/>
                <w:sz w:val="20"/>
              </w:rPr>
              <w:t xml:space="preserve">    </w:t>
            </w:r>
            <w:r>
              <w:rPr>
                <w:rFonts w:hint="eastAsia" w:ascii="宋体" w:hAnsi="宋体" w:eastAsia="宋体" w:cs="Arial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Arial"/>
                <w:sz w:val="20"/>
              </w:rPr>
              <w:t>可再生能源供热</w:t>
            </w:r>
            <w:r>
              <w:rPr>
                <w:rFonts w:hint="eastAsia" w:ascii="宋体" w:hAnsi="宋体" w:eastAsia="宋体" w:cs="Arial"/>
                <w:sz w:val="20"/>
                <w:u w:val="single"/>
              </w:rPr>
              <w:t xml:space="preserve">             </w:t>
            </w:r>
          </w:p>
        </w:tc>
      </w:tr>
    </w:tbl>
    <w:p>
      <w:pPr>
        <w:spacing w:before="46" w:beforeLines="15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填报说明：</w:t>
      </w:r>
    </w:p>
    <w:p>
      <w:pPr>
        <w:spacing w:before="46" w:beforeLines="15"/>
        <w:jc w:val="left"/>
        <w:rPr>
          <w:rFonts w:ascii="宋体" w:hAnsi="宋体" w:eastAsia="宋体" w:cs="Arial"/>
          <w:sz w:val="20"/>
          <w:highlight w:val="none"/>
        </w:rPr>
      </w:pPr>
      <w:r>
        <w:rPr>
          <w:rFonts w:ascii="宋体" w:hAnsi="宋体" w:eastAsia="宋体" w:cs="Arial"/>
          <w:sz w:val="20"/>
          <w:highlight w:val="none"/>
        </w:rPr>
        <w:t>1</w:t>
      </w:r>
      <w:r>
        <w:rPr>
          <w:rFonts w:hint="eastAsia" w:ascii="宋体" w:hAnsi="宋体" w:eastAsia="宋体" w:cs="Arial"/>
          <w:sz w:val="20"/>
          <w:highlight w:val="none"/>
        </w:rPr>
        <w:t>、售热面积需备注按何面积收费。（使用面积、套内面积等收费</w:t>
      </w:r>
      <w:r>
        <w:rPr>
          <w:rFonts w:hint="eastAsia" w:ascii="宋体" w:hAnsi="宋体" w:eastAsia="宋体" w:cs="Arial"/>
          <w:sz w:val="20"/>
          <w:highlight w:val="none"/>
          <w:lang w:val="en-US" w:eastAsia="zh-CN"/>
        </w:rPr>
        <w:t>等</w:t>
      </w:r>
      <w:r>
        <w:rPr>
          <w:rFonts w:hint="eastAsia" w:ascii="宋体" w:hAnsi="宋体" w:eastAsia="宋体" w:cs="Arial"/>
          <w:sz w:val="20"/>
          <w:highlight w:val="none"/>
        </w:rPr>
        <w:t>标准）。</w:t>
      </w:r>
    </w:p>
    <w:p>
      <w:pPr>
        <w:spacing w:before="46" w:beforeLines="15"/>
        <w:jc w:val="left"/>
        <w:rPr>
          <w:rFonts w:ascii="宋体" w:hAnsi="宋体" w:eastAsia="宋体" w:cs="Arial"/>
          <w:sz w:val="20"/>
          <w:highlight w:val="none"/>
        </w:rPr>
      </w:pPr>
      <w:r>
        <w:rPr>
          <w:rFonts w:ascii="宋体" w:hAnsi="宋体" w:eastAsia="宋体" w:cs="Arial"/>
          <w:sz w:val="20"/>
          <w:highlight w:val="none"/>
        </w:rPr>
        <w:t>2</w:t>
      </w:r>
      <w:r>
        <w:rPr>
          <w:rFonts w:hint="eastAsia" w:ascii="宋体" w:hAnsi="宋体" w:eastAsia="宋体" w:cs="Arial"/>
          <w:sz w:val="20"/>
          <w:highlight w:val="none"/>
        </w:rPr>
        <w:t>、居民供热收费价格填报时需标注。（使用面积、建筑面积、套内建筑面积等）。</w:t>
      </w:r>
    </w:p>
    <w:p>
      <w:pPr>
        <w:spacing w:before="46" w:beforeLines="15"/>
        <w:jc w:val="left"/>
        <w:rPr>
          <w:rFonts w:ascii="宋体" w:hAnsi="宋体" w:eastAsia="宋体" w:cs="Arial"/>
          <w:sz w:val="20"/>
          <w:highlight w:val="none"/>
        </w:rPr>
      </w:pPr>
      <w:r>
        <w:rPr>
          <w:rFonts w:ascii="宋体" w:hAnsi="宋体" w:eastAsia="宋体" w:cs="Arial"/>
          <w:sz w:val="20"/>
          <w:highlight w:val="none"/>
        </w:rPr>
        <w:t>3</w:t>
      </w:r>
      <w:r>
        <w:rPr>
          <w:rFonts w:hint="eastAsia" w:ascii="宋体" w:hAnsi="宋体" w:eastAsia="宋体" w:cs="Arial"/>
          <w:sz w:val="20"/>
          <w:highlight w:val="none"/>
        </w:rPr>
        <w:t>、公建供热收费价格填报需注明公建建筑面积，价格按照合同签订内容分别填写。</w:t>
      </w:r>
    </w:p>
    <w:p>
      <w:pPr>
        <w:pStyle w:val="13"/>
        <w:numPr>
          <w:ilvl w:val="0"/>
          <w:numId w:val="1"/>
        </w:numPr>
        <w:spacing w:before="156" w:beforeLines="50" w:after="156" w:afterLines="50"/>
        <w:ind w:left="692" w:hanging="482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外购燃料等价格情况</w:t>
      </w:r>
    </w:p>
    <w:tbl>
      <w:tblPr>
        <w:tblStyle w:val="7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cantSplit/>
          <w:trHeight w:val="335" w:hRule="atLeast"/>
        </w:trPr>
        <w:tc>
          <w:tcPr>
            <w:tcW w:w="153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调研内容</w:t>
            </w:r>
          </w:p>
        </w:tc>
        <w:tc>
          <w:tcPr>
            <w:tcW w:w="3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比2</w:t>
            </w:r>
            <w:r>
              <w:rPr>
                <w:rFonts w:ascii="宋体" w:hAnsi="宋体" w:eastAsia="宋体" w:cs="Arial"/>
                <w:sz w:val="20"/>
              </w:rPr>
              <w:t>020</w:t>
            </w:r>
            <w:r>
              <w:rPr>
                <w:rFonts w:hint="eastAsia" w:ascii="宋体" w:hAnsi="宋体" w:eastAsia="宋体" w:cs="Arial"/>
                <w:sz w:val="20"/>
              </w:rPr>
              <w:t>年度涨幅（%）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3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外购电价（元/kwh）</w:t>
            </w:r>
          </w:p>
        </w:tc>
        <w:tc>
          <w:tcPr>
            <w:tcW w:w="3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3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外购水价（元/m</w:t>
            </w:r>
            <w:r>
              <w:rPr>
                <w:rFonts w:hint="eastAsia" w:ascii="宋体" w:hAnsi="宋体" w:eastAsia="宋体" w:cs="Arial"/>
                <w:sz w:val="20"/>
                <w:vertAlign w:val="superscript"/>
              </w:rPr>
              <w:t>3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3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3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外购热价（元/GJ）</w:t>
            </w:r>
          </w:p>
        </w:tc>
        <w:tc>
          <w:tcPr>
            <w:tcW w:w="3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3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外购标煤价格（元/吨）</w:t>
            </w:r>
          </w:p>
        </w:tc>
        <w:tc>
          <w:tcPr>
            <w:tcW w:w="3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3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外购燃气价（元/标m</w:t>
            </w:r>
            <w:r>
              <w:rPr>
                <w:rFonts w:hint="eastAsia" w:ascii="宋体" w:hAnsi="宋体" w:eastAsia="宋体" w:cs="Arial"/>
                <w:sz w:val="20"/>
                <w:vertAlign w:val="superscript"/>
              </w:rPr>
              <w:t>3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3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</w:tbl>
    <w:p>
      <w:pPr>
        <w:spacing w:before="46" w:beforeLines="15"/>
        <w:jc w:val="left"/>
        <w:rPr>
          <w:rFonts w:hint="eastAsia"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填报说明：外购热价热源不同，价格不一，分别填写。</w:t>
      </w:r>
    </w:p>
    <w:p>
      <w:pPr>
        <w:spacing w:before="46" w:beforeLines="15"/>
        <w:jc w:val="left"/>
        <w:rPr>
          <w:rFonts w:hint="eastAsia" w:ascii="宋体" w:hAnsi="宋体" w:eastAsia="宋体" w:cs="Arial"/>
          <w:sz w:val="20"/>
        </w:rPr>
      </w:pPr>
    </w:p>
    <w:p>
      <w:pPr>
        <w:spacing w:before="46" w:beforeLines="15"/>
        <w:jc w:val="left"/>
        <w:rPr>
          <w:rFonts w:hint="eastAsia" w:ascii="宋体" w:hAnsi="宋体" w:eastAsia="宋体" w:cs="Arial"/>
          <w:sz w:val="20"/>
        </w:rPr>
      </w:pPr>
    </w:p>
    <w:p>
      <w:pPr>
        <w:spacing w:before="46" w:beforeLines="15"/>
        <w:jc w:val="left"/>
        <w:rPr>
          <w:rFonts w:hint="eastAsia" w:ascii="宋体" w:hAnsi="宋体" w:eastAsia="宋体" w:cs="Arial"/>
          <w:sz w:val="20"/>
        </w:rPr>
      </w:pPr>
    </w:p>
    <w:p>
      <w:pPr>
        <w:spacing w:before="46" w:beforeLines="15"/>
        <w:jc w:val="left"/>
        <w:rPr>
          <w:rFonts w:hint="eastAsia" w:ascii="宋体" w:hAnsi="宋体" w:eastAsia="宋体" w:cs="Arial"/>
          <w:sz w:val="20"/>
        </w:rPr>
      </w:pPr>
    </w:p>
    <w:p>
      <w:pPr>
        <w:spacing w:before="46" w:beforeLines="15"/>
        <w:jc w:val="left"/>
        <w:rPr>
          <w:rFonts w:hint="eastAsia" w:ascii="宋体" w:hAnsi="宋体" w:eastAsia="宋体" w:cs="Arial"/>
          <w:sz w:val="20"/>
        </w:rPr>
      </w:pPr>
    </w:p>
    <w:p>
      <w:pPr>
        <w:spacing w:before="46" w:beforeLines="15"/>
        <w:jc w:val="left"/>
        <w:rPr>
          <w:rFonts w:hint="eastAsia" w:ascii="宋体" w:hAnsi="宋体" w:eastAsia="宋体" w:cs="Arial"/>
          <w:sz w:val="20"/>
        </w:rPr>
      </w:pPr>
    </w:p>
    <w:p>
      <w:pPr>
        <w:pStyle w:val="13"/>
        <w:numPr>
          <w:ilvl w:val="0"/>
          <w:numId w:val="1"/>
        </w:numPr>
        <w:spacing w:before="156" w:beforeLines="50" w:after="156" w:afterLines="50"/>
        <w:ind w:left="692" w:hanging="482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供热时间：</w:t>
      </w:r>
    </w:p>
    <w:tbl>
      <w:tblPr>
        <w:tblStyle w:val="8"/>
        <w:tblW w:w="8427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05"/>
        <w:gridCol w:w="1122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3" w:type="dxa"/>
            <w:gridSpan w:val="3"/>
          </w:tcPr>
          <w:p>
            <w:pPr>
              <w:spacing w:before="46" w:beforeLines="15"/>
              <w:jc w:val="center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020-2021</w:t>
            </w:r>
            <w:r>
              <w:rPr>
                <w:rFonts w:hint="eastAsia" w:ascii="宋体" w:hAnsi="宋体" w:eastAsia="宋体" w:cs="Arial"/>
                <w:sz w:val="20"/>
              </w:rPr>
              <w:t>采暖季</w:t>
            </w:r>
          </w:p>
        </w:tc>
        <w:tc>
          <w:tcPr>
            <w:tcW w:w="2892" w:type="dxa"/>
            <w:gridSpan w:val="3"/>
          </w:tcPr>
          <w:p>
            <w:pPr>
              <w:spacing w:before="46" w:beforeLines="15"/>
              <w:jc w:val="center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021-2022</w:t>
            </w:r>
            <w:r>
              <w:rPr>
                <w:rFonts w:hint="eastAsia" w:ascii="宋体" w:hAnsi="宋体" w:eastAsia="宋体" w:cs="Arial"/>
                <w:sz w:val="20"/>
              </w:rPr>
              <w:t>采暖季</w:t>
            </w:r>
          </w:p>
        </w:tc>
        <w:tc>
          <w:tcPr>
            <w:tcW w:w="2892" w:type="dxa"/>
            <w:gridSpan w:val="3"/>
          </w:tcPr>
          <w:p>
            <w:pPr>
              <w:spacing w:before="46" w:beforeLines="15"/>
              <w:jc w:val="center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022-2023</w:t>
            </w:r>
            <w:r>
              <w:rPr>
                <w:rFonts w:hint="eastAsia" w:ascii="宋体" w:hAnsi="宋体" w:eastAsia="宋体" w:cs="Arial"/>
                <w:sz w:val="20"/>
              </w:rPr>
              <w:t>采暖季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早供热天数</w:t>
            </w:r>
          </w:p>
        </w:tc>
        <w:tc>
          <w:tcPr>
            <w:tcW w:w="805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延期天数</w:t>
            </w:r>
          </w:p>
        </w:tc>
        <w:tc>
          <w:tcPr>
            <w:tcW w:w="1122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实际供热总天数</w:t>
            </w:r>
          </w:p>
        </w:tc>
        <w:tc>
          <w:tcPr>
            <w:tcW w:w="964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早供热天数</w:t>
            </w:r>
          </w:p>
        </w:tc>
        <w:tc>
          <w:tcPr>
            <w:tcW w:w="964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延期天数</w:t>
            </w:r>
          </w:p>
        </w:tc>
        <w:tc>
          <w:tcPr>
            <w:tcW w:w="964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实际供热总天数</w:t>
            </w:r>
          </w:p>
        </w:tc>
        <w:tc>
          <w:tcPr>
            <w:tcW w:w="964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早供热天数</w:t>
            </w:r>
          </w:p>
        </w:tc>
        <w:tc>
          <w:tcPr>
            <w:tcW w:w="964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延期天数</w:t>
            </w:r>
          </w:p>
        </w:tc>
        <w:tc>
          <w:tcPr>
            <w:tcW w:w="964" w:type="dxa"/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实际供热总天数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46" w:beforeLines="15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填报说明：早供热天数和延期天数是相较于当地</w:t>
      </w:r>
      <w:r>
        <w:rPr>
          <w:rFonts w:ascii="宋体" w:hAnsi="宋体" w:eastAsia="宋体" w:cs="Arial"/>
          <w:sz w:val="20"/>
        </w:rPr>
        <w:t>《城市集中供热管理条例》</w:t>
      </w:r>
      <w:r>
        <w:rPr>
          <w:rFonts w:hint="eastAsia" w:ascii="宋体" w:hAnsi="宋体" w:eastAsia="宋体" w:cs="Arial"/>
          <w:sz w:val="20"/>
        </w:rPr>
        <w:t>的供热日期（如济南：当年1</w:t>
      </w:r>
      <w:r>
        <w:rPr>
          <w:rFonts w:ascii="宋体" w:hAnsi="宋体" w:eastAsia="宋体" w:cs="Arial"/>
          <w:sz w:val="20"/>
        </w:rPr>
        <w:t>1</w:t>
      </w:r>
      <w:r>
        <w:rPr>
          <w:rFonts w:hint="eastAsia" w:ascii="宋体" w:hAnsi="宋体" w:eastAsia="宋体" w:cs="Arial"/>
          <w:sz w:val="20"/>
        </w:rPr>
        <w:t>月1</w:t>
      </w:r>
      <w:r>
        <w:rPr>
          <w:rFonts w:ascii="宋体" w:hAnsi="宋体" w:eastAsia="宋体" w:cs="Arial"/>
          <w:sz w:val="20"/>
        </w:rPr>
        <w:t>5</w:t>
      </w:r>
      <w:r>
        <w:rPr>
          <w:rFonts w:hint="eastAsia" w:ascii="宋体" w:hAnsi="宋体" w:eastAsia="宋体" w:cs="Arial"/>
          <w:sz w:val="20"/>
        </w:rPr>
        <w:t>日至次年</w:t>
      </w:r>
      <w:r>
        <w:rPr>
          <w:rFonts w:ascii="宋体" w:hAnsi="宋体" w:eastAsia="宋体" w:cs="Arial"/>
          <w:sz w:val="20"/>
        </w:rPr>
        <w:t>3</w:t>
      </w:r>
      <w:r>
        <w:rPr>
          <w:rFonts w:hint="eastAsia" w:ascii="宋体" w:hAnsi="宋体" w:eastAsia="宋体" w:cs="Arial"/>
          <w:sz w:val="20"/>
        </w:rPr>
        <w:t>月1</w:t>
      </w:r>
      <w:r>
        <w:rPr>
          <w:rFonts w:ascii="宋体" w:hAnsi="宋体" w:eastAsia="宋体" w:cs="Arial"/>
          <w:sz w:val="20"/>
        </w:rPr>
        <w:t>5</w:t>
      </w:r>
      <w:r>
        <w:rPr>
          <w:rFonts w:hint="eastAsia" w:ascii="宋体" w:hAnsi="宋体" w:eastAsia="宋体" w:cs="Arial"/>
          <w:sz w:val="20"/>
        </w:rPr>
        <w:t>日）。其中早供热天数包括热调试时间。</w:t>
      </w:r>
    </w:p>
    <w:p>
      <w:pPr>
        <w:pStyle w:val="13"/>
        <w:numPr>
          <w:ilvl w:val="0"/>
          <w:numId w:val="1"/>
        </w:numPr>
        <w:spacing w:before="156" w:beforeLines="50" w:after="156" w:afterLines="50"/>
        <w:ind w:left="692" w:hanging="482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能耗指标</w:t>
      </w:r>
    </w:p>
    <w:tbl>
      <w:tblPr>
        <w:tblStyle w:val="8"/>
        <w:tblW w:w="9270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12"/>
        <w:gridCol w:w="1068"/>
        <w:gridCol w:w="1092"/>
        <w:gridCol w:w="1224"/>
        <w:gridCol w:w="1000"/>
        <w:gridCol w:w="1000"/>
        <w:gridCol w:w="100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spacing w:before="46" w:beforeLines="15"/>
              <w:jc w:val="left"/>
              <w:rPr>
                <w:rFonts w:hint="eastAsia" w:ascii="宋体" w:hAnsi="宋体" w:eastAsia="宋体" w:cs="Arial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0"/>
                <w:highlight w:val="none"/>
              </w:rPr>
              <w:t>法定采暖季</w:t>
            </w:r>
            <w:r>
              <w:rPr>
                <w:rFonts w:hint="eastAsia" w:ascii="宋体" w:hAnsi="宋体" w:eastAsia="宋体" w:cs="Arial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sz w:val="20"/>
                <w:highlight w:val="none"/>
                <w:lang w:val="en-US" w:eastAsia="zh-CN"/>
              </w:rPr>
              <w:t>天数</w:t>
            </w:r>
            <w:r>
              <w:rPr>
                <w:rFonts w:hint="eastAsia" w:ascii="宋体" w:hAnsi="宋体" w:eastAsia="宋体" w:cs="Arial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912" w:type="dxa"/>
            <w:vAlign w:val="center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0"/>
              </w:rPr>
              <w:t>水耗</w:t>
            </w:r>
            <w:r>
              <w:rPr>
                <w:rFonts w:ascii="宋体" w:hAnsi="宋体" w:eastAsia="宋体" w:cs="Arial"/>
                <w:sz w:val="20"/>
              </w:rPr>
              <w:t>（kg/m</w:t>
            </w:r>
            <w:r>
              <w:rPr>
                <w:rFonts w:ascii="宋体" w:hAnsi="宋体" w:eastAsia="宋体" w:cs="Arial"/>
                <w:sz w:val="20"/>
                <w:vertAlign w:val="superscript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.季)</w:t>
            </w:r>
          </w:p>
        </w:tc>
        <w:tc>
          <w:tcPr>
            <w:tcW w:w="1068" w:type="dxa"/>
            <w:vAlign w:val="center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0"/>
              </w:rPr>
              <w:t>电耗</w:t>
            </w:r>
            <w:r>
              <w:rPr>
                <w:rFonts w:ascii="宋体" w:hAnsi="宋体" w:eastAsia="宋体" w:cs="Arial"/>
                <w:sz w:val="20"/>
              </w:rPr>
              <w:t>（kwh/m</w:t>
            </w:r>
            <w:r>
              <w:rPr>
                <w:rFonts w:ascii="宋体" w:hAnsi="宋体" w:eastAsia="宋体" w:cs="Arial"/>
                <w:sz w:val="20"/>
                <w:vertAlign w:val="superscript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.季)</w:t>
            </w:r>
          </w:p>
        </w:tc>
        <w:tc>
          <w:tcPr>
            <w:tcW w:w="1092" w:type="dxa"/>
            <w:vAlign w:val="center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0"/>
              </w:rPr>
              <w:t>热耗（</w:t>
            </w:r>
            <w:r>
              <w:rPr>
                <w:rFonts w:ascii="宋体" w:hAnsi="宋体" w:eastAsia="宋体" w:cs="Arial"/>
                <w:sz w:val="20"/>
              </w:rPr>
              <w:t>GJ/㎡·季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1224" w:type="dxa"/>
            <w:vAlign w:val="center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煤耗（标煤kg</w:t>
            </w:r>
            <w:r>
              <w:rPr>
                <w:rFonts w:ascii="宋体" w:hAnsi="宋体" w:eastAsia="宋体" w:cs="Arial"/>
                <w:sz w:val="20"/>
              </w:rPr>
              <w:t>/㎡·季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3000" w:type="dxa"/>
            <w:gridSpan w:val="3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eastAsia"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失水率（%）</w:t>
            </w:r>
          </w:p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总/一网/二网</w:t>
            </w:r>
          </w:p>
        </w:tc>
        <w:tc>
          <w:tcPr>
            <w:tcW w:w="936" w:type="dxa"/>
            <w:vAlign w:val="center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蒸汽网损率（%）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46" w:beforeLines="15"/>
        <w:jc w:val="left"/>
        <w:rPr>
          <w:rFonts w:ascii="宋体" w:hAnsi="宋体" w:eastAsia="宋体" w:cs="Arial"/>
          <w:sz w:val="20"/>
          <w:highlight w:val="none"/>
        </w:rPr>
      </w:pPr>
      <w:r>
        <w:rPr>
          <w:rFonts w:hint="eastAsia" w:ascii="宋体" w:hAnsi="宋体" w:eastAsia="宋体" w:cs="Arial"/>
          <w:sz w:val="20"/>
          <w:highlight w:val="none"/>
        </w:rPr>
        <w:t>注：一个法定供暖季供暖天数</w:t>
      </w:r>
      <w:r>
        <w:rPr>
          <w:rFonts w:hint="eastAsia" w:ascii="宋体" w:hAnsi="宋体" w:eastAsia="宋体" w:cs="Arial"/>
          <w:sz w:val="20"/>
          <w:highlight w:val="none"/>
          <w:lang w:val="en-US" w:eastAsia="zh-CN"/>
        </w:rPr>
        <w:t>按各地规定   山东是</w:t>
      </w:r>
      <w:r>
        <w:rPr>
          <w:rFonts w:hint="eastAsia" w:ascii="宋体" w:hAnsi="宋体" w:eastAsia="宋体" w:cs="Arial"/>
          <w:sz w:val="20"/>
          <w:highlight w:val="none"/>
        </w:rPr>
        <w:t>1</w:t>
      </w:r>
      <w:r>
        <w:rPr>
          <w:rFonts w:ascii="宋体" w:hAnsi="宋体" w:eastAsia="宋体" w:cs="Arial"/>
          <w:sz w:val="20"/>
          <w:highlight w:val="none"/>
        </w:rPr>
        <w:t>20</w:t>
      </w:r>
      <w:r>
        <w:rPr>
          <w:rFonts w:hint="eastAsia" w:ascii="宋体" w:hAnsi="宋体" w:eastAsia="宋体" w:cs="Arial"/>
          <w:sz w:val="20"/>
          <w:highlight w:val="none"/>
        </w:rPr>
        <w:t>天。</w:t>
      </w:r>
    </w:p>
    <w:p>
      <w:pPr>
        <w:pStyle w:val="13"/>
        <w:numPr>
          <w:ilvl w:val="0"/>
          <w:numId w:val="1"/>
        </w:numPr>
        <w:spacing w:before="156" w:beforeLines="50" w:after="156" w:afterLines="50"/>
        <w:ind w:left="692" w:hanging="482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分布式</w:t>
      </w:r>
      <w:r>
        <w:rPr>
          <w:rFonts w:ascii="黑体" w:hAnsi="黑体" w:eastAsia="黑体"/>
          <w:sz w:val="24"/>
          <w:szCs w:val="24"/>
        </w:rPr>
        <w:t>清洁供暖指标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</w:p>
    <w:tbl>
      <w:tblPr>
        <w:tblStyle w:val="8"/>
        <w:tblpPr w:leftFromText="180" w:rightFromText="180" w:vertAnchor="text" w:horzAnchor="page" w:tblpX="1693" w:tblpY="285"/>
        <w:tblOverlap w:val="never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044"/>
        <w:gridCol w:w="936"/>
        <w:gridCol w:w="924"/>
        <w:gridCol w:w="972"/>
        <w:gridCol w:w="996"/>
        <w:gridCol w:w="816"/>
        <w:gridCol w:w="876"/>
        <w:gridCol w:w="972"/>
        <w:gridCol w:w="852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Align w:val="center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宋体" w:hAnsi="宋体" w:eastAsia="宋体" w:cs="Arial"/>
                <w:sz w:val="20"/>
              </w:rPr>
            </w:pPr>
            <w:r>
              <w:rPr>
                <w:rFonts w:ascii="宋体" w:hAnsi="宋体" w:eastAsia="宋体" w:cs="Arial"/>
                <w:sz w:val="20"/>
              </w:rPr>
              <w:t>新能源方式</w:t>
            </w:r>
          </w:p>
        </w:tc>
        <w:tc>
          <w:tcPr>
            <w:tcW w:w="1044" w:type="dxa"/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Arial"/>
                <w:kern w:val="2"/>
                <w:sz w:val="20"/>
                <w:szCs w:val="22"/>
              </w:rPr>
            </w:pPr>
            <w:r>
              <w:rPr>
                <w:rFonts w:ascii="宋体" w:hAnsi="宋体" w:cs="Arial"/>
                <w:kern w:val="2"/>
                <w:sz w:val="20"/>
                <w:szCs w:val="22"/>
              </w:rPr>
              <w:t>实供面积</w:t>
            </w:r>
            <w:r>
              <w:rPr>
                <w:rFonts w:ascii="宋体" w:hAnsi="宋体" w:cs="Arial"/>
                <w:sz w:val="20"/>
                <w:szCs w:val="22"/>
              </w:rPr>
              <w:t>（万m</w:t>
            </w:r>
            <w:r>
              <w:rPr>
                <w:rFonts w:ascii="宋体" w:hAnsi="宋体" w:cs="Arial"/>
                <w:sz w:val="20"/>
                <w:szCs w:val="22"/>
                <w:vertAlign w:val="superscript"/>
              </w:rPr>
              <w:t>2</w:t>
            </w:r>
            <w:r>
              <w:rPr>
                <w:rFonts w:ascii="宋体" w:hAnsi="宋体" w:cs="Arial"/>
                <w:sz w:val="20"/>
                <w:szCs w:val="22"/>
              </w:rPr>
              <w:t>)</w:t>
            </w:r>
          </w:p>
        </w:tc>
        <w:tc>
          <w:tcPr>
            <w:tcW w:w="936" w:type="dxa"/>
            <w:vAlign w:val="center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宋体" w:hAnsi="宋体" w:eastAsia="宋体" w:cs="Arial"/>
                <w:sz w:val="20"/>
              </w:rPr>
            </w:pPr>
            <w:r>
              <w:rPr>
                <w:rFonts w:ascii="宋体" w:hAnsi="宋体" w:eastAsia="宋体" w:cs="Arial"/>
                <w:sz w:val="20"/>
              </w:rPr>
              <w:t>热单耗（GJ/m</w:t>
            </w:r>
            <w:r>
              <w:rPr>
                <w:rFonts w:ascii="宋体" w:hAnsi="宋体" w:eastAsia="宋体" w:cs="Arial"/>
                <w:sz w:val="20"/>
                <w:vertAlign w:val="superscript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.季）</w:t>
            </w:r>
          </w:p>
        </w:tc>
        <w:tc>
          <w:tcPr>
            <w:tcW w:w="924" w:type="dxa"/>
            <w:vAlign w:val="center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子站水耗</w:t>
            </w:r>
            <w:r>
              <w:rPr>
                <w:rFonts w:ascii="宋体" w:hAnsi="宋体" w:eastAsia="宋体" w:cs="Arial"/>
                <w:sz w:val="20"/>
              </w:rPr>
              <w:t>（KG/m</w:t>
            </w:r>
            <w:r>
              <w:rPr>
                <w:rFonts w:ascii="宋体" w:hAnsi="宋体" w:eastAsia="宋体" w:cs="Arial"/>
                <w:sz w:val="20"/>
                <w:vertAlign w:val="superscript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.季)</w:t>
            </w:r>
          </w:p>
        </w:tc>
        <w:tc>
          <w:tcPr>
            <w:tcW w:w="972" w:type="dxa"/>
            <w:vAlign w:val="center"/>
          </w:tcPr>
          <w:p>
            <w:pPr>
              <w:pStyle w:val="6"/>
              <w:widowControl/>
              <w:spacing w:line="200" w:lineRule="exact"/>
              <w:jc w:val="center"/>
              <w:rPr>
                <w:rFonts w:hint="eastAsia" w:ascii="宋体" w:hAnsi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子站</w:t>
            </w:r>
            <w:r>
              <w:rPr>
                <w:rFonts w:hint="eastAsia" w:ascii="宋体" w:hAnsi="宋体" w:cs="Arial"/>
                <w:sz w:val="20"/>
                <w:lang w:val="en-US" w:eastAsia="zh-CN"/>
              </w:rPr>
              <w:t>本体</w:t>
            </w:r>
            <w:r>
              <w:rPr>
                <w:rFonts w:hint="eastAsia" w:ascii="宋体" w:hAnsi="宋体" w:cs="Arial"/>
                <w:sz w:val="20"/>
              </w:rPr>
              <w:t>电耗</w:t>
            </w:r>
            <w:r>
              <w:rPr>
                <w:rFonts w:ascii="宋体" w:hAnsi="宋体" w:cs="Arial"/>
                <w:sz w:val="20"/>
              </w:rPr>
              <w:t>（KWH/m</w:t>
            </w:r>
            <w:r>
              <w:rPr>
                <w:rFonts w:ascii="宋体" w:hAnsi="宋体" w:cs="Arial"/>
                <w:sz w:val="20"/>
                <w:vertAlign w:val="superscript"/>
              </w:rPr>
              <w:t>2</w:t>
            </w:r>
            <w:r>
              <w:rPr>
                <w:rFonts w:ascii="宋体" w:hAnsi="宋体" w:cs="Arial"/>
                <w:sz w:val="20"/>
              </w:rPr>
              <w:t>.季)</w:t>
            </w:r>
          </w:p>
        </w:tc>
        <w:tc>
          <w:tcPr>
            <w:tcW w:w="996" w:type="dxa"/>
            <w:vAlign w:val="center"/>
          </w:tcPr>
          <w:p>
            <w:pPr>
              <w:pStyle w:val="6"/>
              <w:widowControl/>
              <w:spacing w:line="20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0"/>
              </w:rPr>
              <w:t>子站</w:t>
            </w:r>
            <w:r>
              <w:rPr>
                <w:rFonts w:hint="eastAsia" w:ascii="宋体" w:hAnsi="宋体" w:cs="Arial"/>
                <w:sz w:val="20"/>
                <w:lang w:val="en-US" w:eastAsia="zh-CN"/>
              </w:rPr>
              <w:t>循环</w:t>
            </w:r>
            <w:r>
              <w:rPr>
                <w:rFonts w:hint="eastAsia" w:ascii="宋体" w:hAnsi="宋体" w:cs="Arial"/>
                <w:sz w:val="20"/>
              </w:rPr>
              <w:t>电耗</w:t>
            </w:r>
            <w:r>
              <w:rPr>
                <w:rFonts w:ascii="宋体" w:hAnsi="宋体" w:cs="Arial"/>
                <w:sz w:val="20"/>
              </w:rPr>
              <w:t>（KWH/m</w:t>
            </w:r>
            <w:r>
              <w:rPr>
                <w:rFonts w:ascii="宋体" w:hAnsi="宋体" w:cs="Arial"/>
                <w:sz w:val="20"/>
                <w:vertAlign w:val="superscript"/>
              </w:rPr>
              <w:t>2</w:t>
            </w:r>
            <w:r>
              <w:rPr>
                <w:rFonts w:ascii="宋体" w:hAnsi="宋体" w:cs="Arial"/>
                <w:sz w:val="20"/>
              </w:rPr>
              <w:t>.季)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line="20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hint="eastAsia" w:ascii="宋体" w:hAnsi="宋体" w:cs="Arial"/>
                <w:sz w:val="20"/>
                <w:lang w:val="en-US" w:eastAsia="zh-CN"/>
              </w:rPr>
              <w:t>水单</w:t>
            </w:r>
            <w:r>
              <w:rPr>
                <w:rFonts w:ascii="宋体" w:hAnsi="宋体" w:cs="Arial"/>
                <w:sz w:val="20"/>
              </w:rPr>
              <w:t>（元/m³）</w:t>
            </w:r>
          </w:p>
        </w:tc>
        <w:tc>
          <w:tcPr>
            <w:tcW w:w="876" w:type="dxa"/>
            <w:vAlign w:val="center"/>
          </w:tcPr>
          <w:p>
            <w:pPr>
              <w:pStyle w:val="6"/>
              <w:widowControl/>
              <w:spacing w:line="20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kern w:val="2"/>
                <w:sz w:val="20"/>
                <w:szCs w:val="22"/>
              </w:rPr>
              <w:t>电单价</w:t>
            </w:r>
            <w:r>
              <w:rPr>
                <w:rFonts w:ascii="宋体" w:hAnsi="宋体" w:cs="Arial"/>
                <w:sz w:val="20"/>
              </w:rPr>
              <w:t>（元/KWH）</w:t>
            </w:r>
          </w:p>
        </w:tc>
        <w:tc>
          <w:tcPr>
            <w:tcW w:w="972" w:type="dxa"/>
            <w:vAlign w:val="center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气价</w:t>
            </w:r>
            <w:r>
              <w:rPr>
                <w:rFonts w:ascii="宋体" w:hAnsi="宋体" w:eastAsia="宋体" w:cs="Arial"/>
                <w:sz w:val="20"/>
              </w:rPr>
              <w:t>（元/m³）</w:t>
            </w:r>
          </w:p>
        </w:tc>
        <w:tc>
          <w:tcPr>
            <w:tcW w:w="852" w:type="dxa"/>
            <w:vAlign w:val="center"/>
          </w:tcPr>
          <w:p>
            <w:pPr>
              <w:pStyle w:val="6"/>
              <w:widowControl/>
              <w:spacing w:line="20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kern w:val="2"/>
                <w:sz w:val="20"/>
                <w:szCs w:val="22"/>
              </w:rPr>
              <w:t>吉焦成本</w:t>
            </w:r>
            <w:r>
              <w:rPr>
                <w:rFonts w:ascii="宋体" w:hAnsi="宋体" w:cs="Arial"/>
                <w:sz w:val="20"/>
              </w:rPr>
              <w:t>（元/GJ）</w:t>
            </w:r>
          </w:p>
        </w:tc>
        <w:tc>
          <w:tcPr>
            <w:tcW w:w="744" w:type="dxa"/>
            <w:vAlign w:val="center"/>
          </w:tcPr>
          <w:p>
            <w:pPr>
              <w:pStyle w:val="13"/>
              <w:spacing w:before="156" w:beforeLines="50" w:after="156" w:afterLines="50"/>
              <w:ind w:firstLine="0" w:firstLineChars="0"/>
              <w:jc w:val="center"/>
              <w:textAlignment w:val="baseline"/>
              <w:rPr>
                <w:rFonts w:ascii="宋体" w:hAnsi="宋体" w:eastAsia="宋体" w:cs="Arial"/>
                <w:sz w:val="20"/>
              </w:rPr>
            </w:pPr>
            <w:r>
              <w:rPr>
                <w:rFonts w:ascii="宋体" w:hAnsi="宋体" w:eastAsia="宋体" w:cs="Arial"/>
                <w:sz w:val="20"/>
              </w:rPr>
              <w:t>COP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83" w:type="dxa"/>
          </w:tcPr>
          <w:p>
            <w:pPr>
              <w:pStyle w:val="6"/>
              <w:widowControl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hint="eastAsia" w:ascii="宋体" w:hAnsi="宋体" w:cs="Arial"/>
                <w:sz w:val="20"/>
                <w:szCs w:val="22"/>
              </w:rPr>
              <w:t>空气源热泵</w:t>
            </w:r>
          </w:p>
        </w:tc>
        <w:tc>
          <w:tcPr>
            <w:tcW w:w="104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3" w:type="dxa"/>
          </w:tcPr>
          <w:p>
            <w:pPr>
              <w:pStyle w:val="6"/>
              <w:widowControl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hint="eastAsia" w:ascii="宋体" w:hAnsi="宋体" w:cs="Arial"/>
                <w:sz w:val="20"/>
                <w:szCs w:val="22"/>
              </w:rPr>
              <w:t>污水源热泵</w:t>
            </w:r>
          </w:p>
        </w:tc>
        <w:tc>
          <w:tcPr>
            <w:tcW w:w="104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83" w:type="dxa"/>
          </w:tcPr>
          <w:p>
            <w:pPr>
              <w:pStyle w:val="6"/>
              <w:widowControl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hint="eastAsia" w:ascii="宋体" w:hAnsi="宋体" w:cs="Arial"/>
                <w:sz w:val="20"/>
                <w:szCs w:val="22"/>
              </w:rPr>
              <w:t>燃气热泵</w:t>
            </w:r>
          </w:p>
        </w:tc>
        <w:tc>
          <w:tcPr>
            <w:tcW w:w="104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83" w:type="dxa"/>
          </w:tcPr>
          <w:p>
            <w:pPr>
              <w:pStyle w:val="6"/>
              <w:widowControl/>
              <w:rPr>
                <w:rFonts w:ascii="宋体" w:hAnsi="宋体" w:cs="Arial"/>
                <w:sz w:val="20"/>
                <w:szCs w:val="22"/>
              </w:rPr>
            </w:pPr>
            <w:r>
              <w:rPr>
                <w:rFonts w:ascii="宋体" w:hAnsi="宋体" w:cs="Arial"/>
                <w:sz w:val="20"/>
                <w:szCs w:val="22"/>
              </w:rPr>
              <w:t>….</w:t>
            </w:r>
          </w:p>
        </w:tc>
        <w:tc>
          <w:tcPr>
            <w:tcW w:w="104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24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pStyle w:val="13"/>
              <w:spacing w:before="156" w:beforeLines="50" w:after="156" w:afterLines="50" w:line="200" w:lineRule="exact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44" w:type="dxa"/>
          </w:tcPr>
          <w:p>
            <w:pPr>
              <w:pStyle w:val="13"/>
              <w:spacing w:before="156" w:beforeLines="50" w:after="156" w:afterLines="50"/>
              <w:ind w:firstLine="0" w:firstLineChars="0"/>
              <w:jc w:val="left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pStyle w:val="13"/>
        <w:numPr>
          <w:ilvl w:val="0"/>
          <w:numId w:val="2"/>
        </w:numPr>
        <w:spacing w:before="156" w:beforeLines="50" w:after="156" w:afterLines="50"/>
        <w:ind w:firstLine="0" w:firstLineChars="0"/>
        <w:jc w:val="left"/>
        <w:textAlignment w:val="baseline"/>
        <w:rPr>
          <w:rFonts w:hint="default" w:ascii="宋体" w:hAnsi="宋体" w:eastAsia="宋体" w:cs="Arial"/>
          <w:sz w:val="20"/>
          <w:highlight w:val="none"/>
          <w:lang w:val="en-US" w:eastAsia="zh-CN"/>
        </w:rPr>
      </w:pPr>
      <w:r>
        <w:rPr>
          <w:rFonts w:hint="eastAsia" w:ascii="宋体" w:hAnsi="宋体" w:eastAsia="宋体" w:cs="Arial"/>
          <w:sz w:val="20"/>
          <w:highlight w:val="none"/>
        </w:rPr>
        <w:t>填报说明：新能源方式可按照实际情况补充填写；该表数据按照法定供暖季填报。</w:t>
      </w:r>
      <w:r>
        <w:rPr>
          <w:rFonts w:hint="eastAsia" w:ascii="宋体" w:hAnsi="宋体" w:eastAsia="宋体" w:cs="Arial"/>
          <w:sz w:val="20"/>
          <w:highlight w:val="none"/>
          <w:lang w:val="en-US" w:eastAsia="zh-CN"/>
        </w:rPr>
        <w:t>热泵电耗应区分热泵本体电耗和系统循环电耗。</w:t>
      </w:r>
    </w:p>
    <w:p>
      <w:pPr>
        <w:pStyle w:val="13"/>
        <w:tabs>
          <w:tab w:val="left" w:pos="312"/>
        </w:tabs>
        <w:spacing w:before="156" w:beforeLines="50" w:after="156" w:afterLines="50"/>
        <w:ind w:firstLine="0" w:firstLineChars="0"/>
        <w:jc w:val="left"/>
        <w:textAlignment w:val="baseline"/>
        <w:rPr>
          <w:rFonts w:ascii="宋体" w:hAnsi="宋体" w:eastAsia="宋体" w:cs="Arial"/>
          <w:sz w:val="20"/>
          <w:highlight w:val="yellow"/>
        </w:rPr>
      </w:pP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六、自有热电厂及区域燃煤锅炉房供热情况</w:t>
      </w:r>
    </w:p>
    <w:tbl>
      <w:tblPr>
        <w:tblStyle w:val="7"/>
        <w:tblW w:w="4978" w:type="pct"/>
        <w:tblInd w:w="-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508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cantSplit/>
          <w:trHeight w:val="335" w:hRule="atLeast"/>
        </w:trPr>
        <w:tc>
          <w:tcPr>
            <w:tcW w:w="2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燃煤购入价格标煤（元/吨）</w:t>
            </w:r>
          </w:p>
        </w:tc>
        <w:tc>
          <w:tcPr>
            <w:tcW w:w="29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上个供暖季消耗燃煤量（万吨）</w:t>
            </w:r>
          </w:p>
        </w:tc>
        <w:tc>
          <w:tcPr>
            <w:tcW w:w="29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本供暖季消耗燃煤量（万吨）</w:t>
            </w:r>
          </w:p>
        </w:tc>
        <w:tc>
          <w:tcPr>
            <w:tcW w:w="29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上网电价（元/KWH）</w:t>
            </w:r>
          </w:p>
        </w:tc>
        <w:tc>
          <w:tcPr>
            <w:tcW w:w="29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二氧化碳排放量（吨/年）</w:t>
            </w:r>
          </w:p>
        </w:tc>
        <w:tc>
          <w:tcPr>
            <w:tcW w:w="29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</w:tbl>
    <w:p>
      <w:pPr>
        <w:spacing w:before="46" w:beforeLines="15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填报说明：表中燃煤价按照燃煤</w:t>
      </w:r>
      <w:r>
        <w:rPr>
          <w:rFonts w:hint="eastAsia" w:ascii="宋体" w:hAnsi="宋体" w:eastAsia="宋体" w:cs="Arial"/>
          <w:sz w:val="20"/>
          <w:lang w:val="en-US" w:eastAsia="zh-CN"/>
        </w:rPr>
        <w:t>标煤</w:t>
      </w:r>
      <w:r>
        <w:rPr>
          <w:rFonts w:hint="eastAsia" w:ascii="宋体" w:hAnsi="宋体" w:eastAsia="宋体" w:cs="Arial"/>
          <w:sz w:val="20"/>
        </w:rPr>
        <w:t>买入加权平均价格填写。</w:t>
      </w: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七、外购热电联产、余热情况</w:t>
      </w:r>
    </w:p>
    <w:tbl>
      <w:tblPr>
        <w:tblStyle w:val="7"/>
        <w:tblW w:w="5008" w:type="pct"/>
        <w:tblInd w:w="-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508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2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是否与电厂签订热源保障合同</w:t>
            </w:r>
          </w:p>
        </w:tc>
        <w:tc>
          <w:tcPr>
            <w:tcW w:w="297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Arial"/>
                <w:sz w:val="20"/>
              </w:rPr>
              <w:t>是 □否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2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保障热量购入价格（元/GJ）</w:t>
            </w:r>
          </w:p>
        </w:tc>
        <w:tc>
          <w:tcPr>
            <w:tcW w:w="297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2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上个供暖季消耗热量（万GJ）</w:t>
            </w:r>
          </w:p>
        </w:tc>
        <w:tc>
          <w:tcPr>
            <w:tcW w:w="297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2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本供暖季消耗热量（万GJ）</w:t>
            </w:r>
          </w:p>
        </w:tc>
        <w:tc>
          <w:tcPr>
            <w:tcW w:w="297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</w:tbl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eastAsia="宋体" w:cs="Arial"/>
          <w:sz w:val="20"/>
        </w:rPr>
        <w:t>填报说明：保障热量购入价格可以按照不同购买来源分别填写，请写清来源、价格及各自比重，以及加权平均价格。</w:t>
      </w: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八、调峰及区域燃气锅炉房保障情况</w:t>
      </w:r>
    </w:p>
    <w:tbl>
      <w:tblPr>
        <w:tblStyle w:val="7"/>
        <w:tblW w:w="5014" w:type="pct"/>
        <w:tblInd w:w="-10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505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是否与燃气厂签订热源保障合同</w:t>
            </w:r>
          </w:p>
        </w:tc>
        <w:tc>
          <w:tcPr>
            <w:tcW w:w="296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Arial"/>
                <w:sz w:val="20"/>
              </w:rPr>
              <w:t>是 □否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保障燃气购入价格（元/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标m</w:t>
            </w:r>
            <w:r>
              <w:rPr>
                <w:rFonts w:hint="eastAsia" w:ascii="宋体" w:hAnsi="宋体" w:eastAsia="宋体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296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上个供暖季消耗燃气量（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万标m</w:t>
            </w:r>
            <w:r>
              <w:rPr>
                <w:rFonts w:hint="eastAsia" w:ascii="宋体" w:hAnsi="宋体" w:eastAsia="宋体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296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0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本供暖季预估消耗燃气量（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万标m</w:t>
            </w:r>
            <w:r>
              <w:rPr>
                <w:rFonts w:hint="eastAsia" w:ascii="宋体" w:hAnsi="宋体" w:eastAsia="宋体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296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</w:tbl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eastAsia="宋体" w:cs="Arial"/>
          <w:sz w:val="20"/>
        </w:rPr>
        <w:t>填报说明：保障燃气购入价格按照加权平均价格填写。</w:t>
      </w:r>
    </w:p>
    <w:p>
      <w:pPr>
        <w:spacing w:before="46" w:beforeLines="15"/>
        <w:jc w:val="left"/>
        <w:rPr>
          <w:rFonts w:ascii="宋体" w:hAnsi="宋体" w:eastAsia="宋体" w:cs="Arial"/>
          <w:b/>
          <w:bCs/>
          <w:sz w:val="40"/>
          <w:szCs w:val="40"/>
        </w:rPr>
      </w:pPr>
      <w:r>
        <w:rPr>
          <w:rFonts w:hint="eastAsia" w:ascii="宋体" w:hAnsi="宋体" w:eastAsia="宋体" w:cs="Arial"/>
          <w:b/>
          <w:bCs/>
          <w:sz w:val="40"/>
          <w:szCs w:val="40"/>
        </w:rPr>
        <w:t>政策及财务数据：</w:t>
      </w: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九、近三年政府补贴政策及到位情况</w:t>
      </w:r>
    </w:p>
    <w:tbl>
      <w:tblPr>
        <w:tblStyle w:val="7"/>
        <w:tblW w:w="5306" w:type="pct"/>
        <w:tblInd w:w="-1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2039"/>
        <w:gridCol w:w="1891"/>
        <w:gridCol w:w="189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项目</w:t>
            </w:r>
          </w:p>
        </w:tc>
        <w:tc>
          <w:tcPr>
            <w:tcW w:w="112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center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020</w:t>
            </w: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center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021</w:t>
            </w: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center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2</w:t>
            </w:r>
            <w:r>
              <w:rPr>
                <w:rFonts w:ascii="宋体" w:hAnsi="宋体" w:eastAsia="宋体" w:cs="Arial"/>
                <w:sz w:val="20"/>
              </w:rPr>
              <w:t>022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补贴类别</w:t>
            </w:r>
          </w:p>
        </w:tc>
        <w:tc>
          <w:tcPr>
            <w:tcW w:w="112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补贴形式</w:t>
            </w:r>
          </w:p>
        </w:tc>
        <w:tc>
          <w:tcPr>
            <w:tcW w:w="112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ascii="宋体" w:hAnsi="宋体" w:eastAsia="宋体" w:cs="Arial"/>
                <w:sz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配套费收取标准（元/</w:t>
            </w:r>
            <w:r>
              <w:rPr>
                <w:rFonts w:ascii="宋体" w:hAnsi="宋体" w:eastAsia="宋体" w:cs="Arial"/>
                <w:sz w:val="20"/>
              </w:rPr>
              <w:t>m</w:t>
            </w:r>
            <w:r>
              <w:rPr>
                <w:rFonts w:ascii="宋体" w:hAnsi="宋体" w:eastAsia="宋体" w:cs="Arial"/>
                <w:sz w:val="20"/>
                <w:vertAlign w:val="superscript"/>
              </w:rPr>
              <w:t>2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112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政府财政补贴（万元）（含提前供暖及延期供暖补贴）</w:t>
            </w:r>
          </w:p>
        </w:tc>
        <w:tc>
          <w:tcPr>
            <w:tcW w:w="112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补贴到位情况</w:t>
            </w:r>
          </w:p>
        </w:tc>
        <w:tc>
          <w:tcPr>
            <w:tcW w:w="112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hint="eastAsia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04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eastAsia" w:ascii="宋体" w:hAnsi="宋体" w:eastAsia="宋体" w:cs="Arial"/>
                <w:sz w:val="20"/>
                <w:lang w:val="en-US" w:eastAsia="zh-CN"/>
              </w:rPr>
            </w:pPr>
          </w:p>
        </w:tc>
      </w:tr>
    </w:tbl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填报说明：配套费可以按照不同收取方式及收取价格，分别填写。</w:t>
      </w:r>
    </w:p>
    <w:p>
      <w:pPr>
        <w:pStyle w:val="13"/>
        <w:spacing w:before="156" w:beforeLines="50" w:after="156" w:afterLines="50"/>
        <w:ind w:left="210" w:firstLine="0" w:firstLineChars="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spacing w:before="156" w:beforeLines="50" w:after="156" w:afterLines="50"/>
        <w:ind w:left="210" w:firstLine="0" w:firstLineChars="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spacing w:before="156" w:beforeLines="50" w:after="156" w:afterLines="50"/>
        <w:ind w:left="210"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十、2</w:t>
      </w:r>
      <w:r>
        <w:rPr>
          <w:rFonts w:ascii="黑体" w:hAnsi="黑体" w:eastAsia="黑体"/>
          <w:sz w:val="24"/>
          <w:szCs w:val="24"/>
        </w:rPr>
        <w:t>022-2023</w:t>
      </w:r>
      <w:r>
        <w:rPr>
          <w:rFonts w:hint="eastAsia" w:ascii="黑体" w:hAnsi="黑体" w:eastAsia="黑体"/>
          <w:sz w:val="24"/>
          <w:szCs w:val="24"/>
        </w:rPr>
        <w:t>年供暖期购热情况、收入及成本</w:t>
      </w:r>
    </w:p>
    <w:tbl>
      <w:tblPr>
        <w:tblStyle w:val="7"/>
        <w:tblW w:w="5152" w:type="pct"/>
        <w:tblInd w:w="9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1583"/>
        <w:gridCol w:w="2825"/>
        <w:gridCol w:w="132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cantSplit/>
          <w:trHeight w:val="335" w:hRule="atLeast"/>
        </w:trPr>
        <w:tc>
          <w:tcPr>
            <w:tcW w:w="1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采暖费总收入（万元）</w:t>
            </w:r>
          </w:p>
        </w:tc>
        <w:tc>
          <w:tcPr>
            <w:tcW w:w="3265" w:type="pct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居民采暖费收入（万元）</w:t>
            </w:r>
          </w:p>
        </w:tc>
        <w:tc>
          <w:tcPr>
            <w:tcW w:w="901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eastAsia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60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公建采暖费收入（万元）</w:t>
            </w:r>
          </w:p>
        </w:tc>
        <w:tc>
          <w:tcPr>
            <w:tcW w:w="75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eastAsia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采暖季燃料总成本（万元）</w:t>
            </w:r>
          </w:p>
        </w:tc>
        <w:tc>
          <w:tcPr>
            <w:tcW w:w="901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eastAsia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60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燃料成本占总成本比率（%）</w:t>
            </w:r>
          </w:p>
        </w:tc>
        <w:tc>
          <w:tcPr>
            <w:tcW w:w="75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eastAsia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外购热单价（元/</w:t>
            </w:r>
            <w:r>
              <w:rPr>
                <w:rFonts w:ascii="宋体" w:hAnsi="宋体" w:eastAsia="宋体" w:cs="Arial"/>
                <w:sz w:val="20"/>
              </w:rPr>
              <w:t>GJ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901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60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外购热成本（万元）</w:t>
            </w:r>
          </w:p>
        </w:tc>
        <w:tc>
          <w:tcPr>
            <w:tcW w:w="75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供热综合单价（元/</w:t>
            </w:r>
            <w:r>
              <w:rPr>
                <w:rFonts w:ascii="宋体" w:hAnsi="宋体" w:eastAsia="宋体" w:cs="Arial"/>
                <w:sz w:val="20"/>
              </w:rPr>
              <w:t>GJ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901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60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平均供热成本（元/m</w:t>
            </w:r>
            <w:r>
              <w:rPr>
                <w:rFonts w:hint="eastAsia" w:ascii="宋体" w:hAnsi="宋体" w:eastAsia="宋体" w:cs="Arial"/>
                <w:sz w:val="20"/>
                <w:vertAlign w:val="superscript"/>
              </w:rPr>
              <w:t>2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</w:p>
        </w:tc>
        <w:tc>
          <w:tcPr>
            <w:tcW w:w="75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平均供热成本比上年度涨幅（%）</w:t>
            </w:r>
          </w:p>
        </w:tc>
        <w:tc>
          <w:tcPr>
            <w:tcW w:w="901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  <w:tc>
          <w:tcPr>
            <w:tcW w:w="160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企业盈亏（万元）</w:t>
            </w:r>
          </w:p>
        </w:tc>
        <w:tc>
          <w:tcPr>
            <w:tcW w:w="75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46" w:beforeLines="15"/>
              <w:rPr>
                <w:rFonts w:hint="default" w:ascii="宋体" w:hAnsi="宋体" w:eastAsia="宋体" w:cs="Arial"/>
                <w:sz w:val="20"/>
                <w:lang w:val="en-US" w:eastAsia="zh-CN"/>
              </w:rPr>
            </w:pPr>
          </w:p>
        </w:tc>
      </w:tr>
    </w:tbl>
    <w:p>
      <w:pPr>
        <w:spacing w:before="46" w:beforeLines="15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填报说明：燃料总成本、外购热单价、外购热成本按照加权平均价格填写。平均供热成本（元/m</w:t>
      </w:r>
      <w:r>
        <w:rPr>
          <w:rFonts w:hint="eastAsia" w:ascii="宋体" w:hAnsi="宋体" w:eastAsia="宋体" w:cs="Arial"/>
          <w:sz w:val="20"/>
          <w:vertAlign w:val="superscript"/>
        </w:rPr>
        <w:t>2</w:t>
      </w:r>
      <w:r>
        <w:rPr>
          <w:rFonts w:hint="eastAsia" w:ascii="宋体" w:hAnsi="宋体" w:eastAsia="宋体" w:cs="Arial"/>
          <w:sz w:val="20"/>
        </w:rPr>
        <w:t>）按照面积填写。</w:t>
      </w:r>
    </w:p>
    <w:p>
      <w:pPr>
        <w:pStyle w:val="13"/>
        <w:numPr>
          <w:ilvl w:val="0"/>
          <w:numId w:val="3"/>
        </w:numPr>
        <w:spacing w:before="156" w:beforeLines="50" w:after="156" w:afterLines="50"/>
        <w:ind w:left="210" w:firstLine="0" w:firstLineChars="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企业需要反映的其他问题及建议</w:t>
      </w: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widowControl w:val="0"/>
        <w:numPr>
          <w:ilvl w:val="0"/>
          <w:numId w:val="0"/>
        </w:numPr>
        <w:spacing w:before="156" w:beforeLines="50" w:after="156" w:afterLines="5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企业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地址：</w:t>
      </w: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联系人：</w:t>
      </w: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联系电话:</w:t>
      </w: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微信号：</w:t>
      </w:r>
    </w:p>
    <w:p>
      <w:pPr>
        <w:pStyle w:val="13"/>
        <w:spacing w:before="156" w:beforeLines="50" w:after="156" w:afterLines="50"/>
        <w:ind w:firstLine="0" w:firstLineChars="0"/>
        <w:jc w:val="left"/>
        <w:textAlignment w:val="baseline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(填写好后，请于8月10日前发送至sdqynyxh@163.com)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6495F"/>
    <w:multiLevelType w:val="singleLevel"/>
    <w:tmpl w:val="C9F6495F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A35645"/>
    <w:multiLevelType w:val="multilevel"/>
    <w:tmpl w:val="0DA35645"/>
    <w:lvl w:ilvl="0" w:tentative="0">
      <w:start w:val="1"/>
      <w:numFmt w:val="japaneseCounting"/>
      <w:lvlText w:val="%1、"/>
      <w:lvlJc w:val="left"/>
      <w:pPr>
        <w:ind w:left="764" w:hanging="48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A88089"/>
    <w:multiLevelType w:val="singleLevel"/>
    <w:tmpl w:val="4CA880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Njg2MDA1OWZiZDM3ZDY4NDU3MzlkMWZhODI4ODkifQ=="/>
  </w:docVars>
  <w:rsids>
    <w:rsidRoot w:val="004C7359"/>
    <w:rsid w:val="00075F9A"/>
    <w:rsid w:val="000837C4"/>
    <w:rsid w:val="00093C32"/>
    <w:rsid w:val="0011345E"/>
    <w:rsid w:val="001E392F"/>
    <w:rsid w:val="002743AE"/>
    <w:rsid w:val="002808B8"/>
    <w:rsid w:val="002931CB"/>
    <w:rsid w:val="002E5789"/>
    <w:rsid w:val="002F68C9"/>
    <w:rsid w:val="003074AA"/>
    <w:rsid w:val="00330A5D"/>
    <w:rsid w:val="00384124"/>
    <w:rsid w:val="003A1D05"/>
    <w:rsid w:val="003F2A30"/>
    <w:rsid w:val="003F69E5"/>
    <w:rsid w:val="00407D87"/>
    <w:rsid w:val="004520E8"/>
    <w:rsid w:val="00492901"/>
    <w:rsid w:val="004C7359"/>
    <w:rsid w:val="004E0A84"/>
    <w:rsid w:val="004E3141"/>
    <w:rsid w:val="00532813"/>
    <w:rsid w:val="005403E6"/>
    <w:rsid w:val="005703E7"/>
    <w:rsid w:val="00594A78"/>
    <w:rsid w:val="005A3C68"/>
    <w:rsid w:val="005B08A1"/>
    <w:rsid w:val="00646F58"/>
    <w:rsid w:val="00682FBF"/>
    <w:rsid w:val="006C0277"/>
    <w:rsid w:val="006C3DD8"/>
    <w:rsid w:val="00701BE7"/>
    <w:rsid w:val="007059C7"/>
    <w:rsid w:val="00727382"/>
    <w:rsid w:val="00732BC2"/>
    <w:rsid w:val="007A11CF"/>
    <w:rsid w:val="007B1876"/>
    <w:rsid w:val="00865188"/>
    <w:rsid w:val="0087595A"/>
    <w:rsid w:val="008B4EB8"/>
    <w:rsid w:val="008C366F"/>
    <w:rsid w:val="008E6AE0"/>
    <w:rsid w:val="0095455B"/>
    <w:rsid w:val="00963C5C"/>
    <w:rsid w:val="009A1114"/>
    <w:rsid w:val="00B02613"/>
    <w:rsid w:val="00B61122"/>
    <w:rsid w:val="00B83396"/>
    <w:rsid w:val="00BB729B"/>
    <w:rsid w:val="00C40FE8"/>
    <w:rsid w:val="00C50513"/>
    <w:rsid w:val="00C63C89"/>
    <w:rsid w:val="00C86772"/>
    <w:rsid w:val="00CC1E1F"/>
    <w:rsid w:val="00D547D2"/>
    <w:rsid w:val="00D62FCE"/>
    <w:rsid w:val="00E149A6"/>
    <w:rsid w:val="00E5040C"/>
    <w:rsid w:val="00E60167"/>
    <w:rsid w:val="00E64560"/>
    <w:rsid w:val="00EF792B"/>
    <w:rsid w:val="00F13586"/>
    <w:rsid w:val="00F301BC"/>
    <w:rsid w:val="00F803AC"/>
    <w:rsid w:val="00F8610D"/>
    <w:rsid w:val="00FC4C23"/>
    <w:rsid w:val="03A6410B"/>
    <w:rsid w:val="09A92667"/>
    <w:rsid w:val="13025F75"/>
    <w:rsid w:val="16E512D2"/>
    <w:rsid w:val="1A366198"/>
    <w:rsid w:val="1E672DC4"/>
    <w:rsid w:val="1E773E26"/>
    <w:rsid w:val="1FDB5060"/>
    <w:rsid w:val="259430FE"/>
    <w:rsid w:val="27716A62"/>
    <w:rsid w:val="2C0A6716"/>
    <w:rsid w:val="2E133B78"/>
    <w:rsid w:val="39A52821"/>
    <w:rsid w:val="3B0A4DAB"/>
    <w:rsid w:val="3B3F60F4"/>
    <w:rsid w:val="3C143F48"/>
    <w:rsid w:val="3D062D50"/>
    <w:rsid w:val="3F5275E8"/>
    <w:rsid w:val="43CC3538"/>
    <w:rsid w:val="46F4324C"/>
    <w:rsid w:val="478225E8"/>
    <w:rsid w:val="49902920"/>
    <w:rsid w:val="49912347"/>
    <w:rsid w:val="4DC31516"/>
    <w:rsid w:val="4F624D5E"/>
    <w:rsid w:val="54863287"/>
    <w:rsid w:val="58240E03"/>
    <w:rsid w:val="5833231E"/>
    <w:rsid w:val="5C0F3B78"/>
    <w:rsid w:val="5CE66778"/>
    <w:rsid w:val="5D6B74D4"/>
    <w:rsid w:val="60915118"/>
    <w:rsid w:val="617A6B6E"/>
    <w:rsid w:val="693414FD"/>
    <w:rsid w:val="6B207992"/>
    <w:rsid w:val="6F6B13D1"/>
    <w:rsid w:val="706E3CAF"/>
    <w:rsid w:val="71DB4F28"/>
    <w:rsid w:val="7F795DB6"/>
    <w:rsid w:val="7F94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闻政表文字"/>
    <w:basedOn w:val="1"/>
    <w:qFormat/>
    <w:uiPriority w:val="5"/>
    <w:pPr>
      <w:widowControl/>
      <w:spacing w:line="320" w:lineRule="exact"/>
      <w:jc w:val="center"/>
    </w:pPr>
    <w:rPr>
      <w:rFonts w:ascii="Times New Roman" w:hAnsi="Times New Roman" w:eastAsia="仿宋_GB2312" w:cs="宋体"/>
      <w:bCs/>
      <w:color w:val="000000"/>
      <w:kern w:val="0"/>
      <w:sz w:val="22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1427</Words>
  <Characters>1571</Characters>
  <Lines>14</Lines>
  <Paragraphs>3</Paragraphs>
  <TotalTime>13</TotalTime>
  <ScaleCrop>false</ScaleCrop>
  <LinksUpToDate>false</LinksUpToDate>
  <CharactersWithSpaces>1668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2023-04-28T05:10:00Z</dcterms:created>
  <dc:creator>420147352@qq.com</dc:creator>
  <cp:lastModifiedBy>燕希</cp:lastModifiedBy>
  <cp:lastPrinted>2023-05-15T03:52:00Z</cp:lastPrinted>
  <dcterms:modified xsi:type="dcterms:W3CDTF">2023-08-04T11:30:09Z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0F09B59260F24B62802988AA464C8E19_13</vt:lpwstr>
  </property>
</Properties>
</file>